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670C064A" w14:textId="77777777" w:rsidR="002B7962" w:rsidRPr="002B7962" w:rsidRDefault="002B7962" w:rsidP="002B7962">
      <w:pPr>
        <w:pStyle w:val="Times12"/>
        <w:ind w:right="282"/>
        <w:jc w:val="right"/>
        <w:rPr>
          <w:b/>
          <w:bCs w:val="0"/>
          <w:szCs w:val="24"/>
          <w:lang w:val="en-US"/>
        </w:rPr>
      </w:pPr>
    </w:p>
    <w:p w14:paraId="065FEAE1" w14:textId="21CFD835" w:rsidR="005308D2" w:rsidRPr="00D314BB" w:rsidRDefault="00D314BB" w:rsidP="00D314BB">
      <w:pPr>
        <w:jc w:val="center"/>
        <w:rPr>
          <w:b/>
          <w:i/>
          <w:iCs/>
          <w:lang w:val="en-US"/>
        </w:rPr>
      </w:pPr>
      <w:r w:rsidRPr="00D314BB">
        <w:rPr>
          <w:iCs/>
          <w:lang w:val="en-US"/>
        </w:rPr>
        <w:t>PA</w:t>
      </w:r>
      <w:r w:rsidR="002B7962">
        <w:rPr>
          <w:iCs/>
          <w:lang w:val="en-US"/>
        </w:rPr>
        <w:t>RTICIPANT QUESTIONNAIRE</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835E63"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r w:rsidRPr="00D314BB">
              <w:rPr>
                <w:sz w:val="24"/>
                <w:szCs w:val="24"/>
                <w:lang w:eastAsia="en-US"/>
              </w:rPr>
              <w:t>Name</w:t>
            </w:r>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835E63"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r w:rsidRPr="00D314BB">
              <w:rPr>
                <w:szCs w:val="24"/>
                <w:lang w:eastAsia="en-US"/>
              </w:rPr>
              <w:t>Organizational and legal form</w:t>
            </w:r>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835E63"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835E63"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Activities</w:t>
            </w:r>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835E63"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Legal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Postal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r w:rsidRPr="00D314BB">
              <w:rPr>
                <w:szCs w:val="24"/>
                <w:lang w:eastAsia="en-US"/>
              </w:rPr>
              <w:t>ctual location</w:t>
            </w:r>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Phones (with area code)</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E-mail address</w:t>
            </w:r>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835E63"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Authorized capital</w:t>
            </w:r>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835E63"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835E63"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835E63"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835E63"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835E63"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t>INSTRUCTIONS FOR FILLING IN</w:t>
      </w:r>
    </w:p>
    <w:p w14:paraId="6D593275" w14:textId="77777777" w:rsidR="00D314BB" w:rsidRPr="00D314BB" w:rsidRDefault="00D314BB" w:rsidP="002B7962">
      <w:pPr>
        <w:jc w:val="both"/>
        <w:rPr>
          <w:bCs/>
          <w:lang w:val="en-US"/>
        </w:rPr>
      </w:pPr>
      <w:r w:rsidRPr="00D314BB">
        <w:rPr>
          <w:bCs/>
          <w:lang w:val="en-US"/>
        </w:rPr>
        <w:lastRenderedPageBreak/>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6A7255A8" w:rsidR="005308D2" w:rsidRDefault="00D314BB" w:rsidP="002B7962">
      <w:pPr>
        <w:jc w:val="both"/>
        <w:rPr>
          <w:bCs/>
          <w:lang w:val="en-US"/>
        </w:rPr>
      </w:pPr>
      <w:r w:rsidRPr="00D314BB">
        <w:rPr>
          <w:bCs/>
          <w:lang w:val="en-US"/>
        </w:rPr>
        <w:t>5. The questionnaire filled out by the procurement participant must contain all the information specified in Table 1. In the absence of any data, the word “no” is indicated.</w:t>
      </w:r>
    </w:p>
    <w:p w14:paraId="3F4D0757" w14:textId="63AB15AF" w:rsidR="00835E63" w:rsidRPr="00A81D03" w:rsidRDefault="00835E63" w:rsidP="002B7962">
      <w:pPr>
        <w:jc w:val="both"/>
        <w:rPr>
          <w:b/>
          <w:bCs/>
          <w:i/>
          <w:color w:val="FF0000"/>
          <w:lang w:val="en-US"/>
        </w:rPr>
      </w:pPr>
      <w:r w:rsidRPr="00A81D03">
        <w:rPr>
          <w:bCs/>
          <w:color w:val="FF0000"/>
          <w:lang w:val="en-US"/>
        </w:rPr>
        <w:t>6.</w:t>
      </w:r>
      <w:r w:rsidRPr="00A81D03">
        <w:rPr>
          <w:color w:val="FF0000"/>
          <w:lang w:val="en-US"/>
        </w:rPr>
        <w:t xml:space="preserve"> </w:t>
      </w:r>
      <w:r w:rsidRPr="00A81D03">
        <w:rPr>
          <w:bCs/>
          <w:color w:val="FF0000"/>
          <w:lang w:val="en-US"/>
        </w:rPr>
        <w:t>Attach supporting documents: registration documents, financial statements for the last 2 years,</w:t>
      </w:r>
      <w:r w:rsidR="007156D3" w:rsidRPr="00A81D03">
        <w:rPr>
          <w:bCs/>
          <w:color w:val="FF0000"/>
          <w:lang w:val="en-US"/>
        </w:rPr>
        <w:t xml:space="preserve"> </w:t>
      </w:r>
      <w:r w:rsidRPr="00A81D03">
        <w:rPr>
          <w:bCs/>
          <w:color w:val="FF0000"/>
          <w:lang w:val="en-US"/>
        </w:rPr>
        <w:t>Tax ID card</w:t>
      </w:r>
      <w:r w:rsidR="007156D3" w:rsidRPr="00A81D03">
        <w:rPr>
          <w:bCs/>
          <w:color w:val="FF0000"/>
          <w:lang w:val="en-US"/>
        </w:rPr>
        <w:t>.</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bookmarkStart w:id="2" w:name="_GoBack"/>
      <w:bookmarkEnd w:id="2"/>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9"/>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6D3"/>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99"/>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411"/>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5E63"/>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577ED"/>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03"/>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A41"/>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C69A-8705-424C-997A-4E571C0064F6}">
  <ds:schemaRefs>
    <ds:schemaRef ds:uri="http://schemas.openxmlformats.org/officeDocument/2006/bibliography"/>
  </ds:schemaRefs>
</ds:datastoreItem>
</file>

<file path=customXml/itemProps2.xml><?xml version="1.0" encoding="utf-8"?>
<ds:datastoreItem xmlns:ds="http://schemas.openxmlformats.org/officeDocument/2006/customXml" ds:itemID="{E3195A5E-AAEB-4770-8545-B9CECD720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421</Words>
  <Characters>2463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2879</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Мария Суслова</cp:lastModifiedBy>
  <cp:revision>8</cp:revision>
  <cp:lastPrinted>2021-10-25T09:27:00Z</cp:lastPrinted>
  <dcterms:created xsi:type="dcterms:W3CDTF">2023-01-12T15:08:00Z</dcterms:created>
  <dcterms:modified xsi:type="dcterms:W3CDTF">2023-03-03T11:51:00Z</dcterms:modified>
</cp:coreProperties>
</file>