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90160" w14:textId="1F76583E" w:rsidR="00C86068" w:rsidRPr="00990BF8" w:rsidRDefault="00C86068" w:rsidP="00C86068">
      <w:pPr>
        <w:jc w:val="right"/>
        <w:rPr>
          <w:b/>
          <w:sz w:val="22"/>
          <w:szCs w:val="22"/>
          <w:lang w:val="en-US"/>
        </w:rPr>
      </w:pPr>
      <w:r w:rsidRPr="00990BF8">
        <w:rPr>
          <w:b/>
          <w:sz w:val="22"/>
          <w:szCs w:val="22"/>
        </w:rPr>
        <w:t>Appendix No.</w:t>
      </w:r>
      <w:r w:rsidR="00115CF9" w:rsidRPr="00990BF8">
        <w:rPr>
          <w:b/>
          <w:sz w:val="22"/>
          <w:szCs w:val="22"/>
        </w:rPr>
        <w:t xml:space="preserve"> </w:t>
      </w:r>
      <w:r w:rsidR="00FE75FE" w:rsidRPr="00990BF8">
        <w:rPr>
          <w:b/>
          <w:sz w:val="22"/>
          <w:szCs w:val="22"/>
          <w:lang w:val="en-US"/>
        </w:rPr>
        <w:t>3</w:t>
      </w:r>
      <w:r w:rsidRPr="00990BF8">
        <w:rPr>
          <w:b/>
          <w:sz w:val="22"/>
          <w:szCs w:val="22"/>
        </w:rPr>
        <w:t xml:space="preserve"> to </w:t>
      </w:r>
      <w:r w:rsidR="00115CF9" w:rsidRPr="00990BF8">
        <w:rPr>
          <w:b/>
          <w:sz w:val="22"/>
          <w:szCs w:val="22"/>
        </w:rPr>
        <w:t xml:space="preserve">the Contract No. </w:t>
      </w:r>
      <w:r w:rsidRPr="00990BF8">
        <w:rPr>
          <w:b/>
          <w:sz w:val="22"/>
          <w:szCs w:val="22"/>
        </w:rPr>
        <w:t xml:space="preserve">dd. </w:t>
      </w:r>
    </w:p>
    <w:p w14:paraId="642320DC" w14:textId="1688900B" w:rsidR="007A2118" w:rsidRPr="00990BF8" w:rsidRDefault="00115CF9" w:rsidP="00990BF8">
      <w:pPr>
        <w:spacing w:before="480" w:after="240"/>
        <w:jc w:val="center"/>
        <w:rPr>
          <w:sz w:val="22"/>
          <w:szCs w:val="22"/>
        </w:rPr>
      </w:pPr>
      <w:r w:rsidRPr="00990BF8">
        <w:rPr>
          <w:b/>
          <w:sz w:val="22"/>
          <w:szCs w:val="22"/>
        </w:rPr>
        <w:t>Requirements to Securities</w:t>
      </w:r>
    </w:p>
    <w:p w14:paraId="32B08026"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Security must be provided in one of the following forms:</w:t>
      </w:r>
    </w:p>
    <w:p w14:paraId="3830FEAF" w14:textId="77777777" w:rsidR="007A2118" w:rsidRPr="00990BF8" w:rsidRDefault="007A2118" w:rsidP="00115CF9">
      <w:pPr>
        <w:pStyle w:val="a5"/>
        <w:numPr>
          <w:ilvl w:val="1"/>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in the form of an irrevocable bank guarantee;</w:t>
      </w:r>
    </w:p>
    <w:p w14:paraId="4AA740FC" w14:textId="77777777" w:rsidR="007A2118" w:rsidRPr="00990BF8" w:rsidRDefault="007A2118" w:rsidP="00115CF9">
      <w:pPr>
        <w:pStyle w:val="a5"/>
        <w:numPr>
          <w:ilvl w:val="1"/>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in the form of funds by transfer to the Customer;</w:t>
      </w:r>
    </w:p>
    <w:p w14:paraId="0D74F358" w14:textId="77777777" w:rsidR="007A2118" w:rsidRPr="00990BF8" w:rsidRDefault="007A2118" w:rsidP="00115CF9">
      <w:pPr>
        <w:pStyle w:val="a5"/>
        <w:numPr>
          <w:ilvl w:val="1"/>
          <w:numId w:val="2"/>
        </w:numPr>
        <w:tabs>
          <w:tab w:val="left" w:pos="0"/>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in</w:t>
      </w:r>
      <w:proofErr w:type="gramEnd"/>
      <w:r w:rsidRPr="00990BF8">
        <w:rPr>
          <w:rFonts w:ascii="Times New Roman" w:hAnsi="Times New Roman" w:cs="Times New Roman"/>
        </w:rPr>
        <w:t xml:space="preserve"> the form of a guarantee or an independent guarantee (excluding bank ones).</w:t>
      </w:r>
    </w:p>
    <w:p w14:paraId="5AA82ABE" w14:textId="23A2EE6E"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The security shall be compliant with the legal requirements of the Russian Federation and the requirements to banks and guarantors established in Appendix No. 11 to Unified Industry Procurement Standard (Procurement Regulations) of Rosatom State Corporation (hereinafter referred to as the UIPS) published on the official website of Rosatom State Corporation: </w:t>
      </w:r>
      <w:hyperlink r:id="rId7" w:history="1">
        <w:r w:rsidRPr="00990BF8">
          <w:rPr>
            <w:rStyle w:val="a4"/>
            <w:rFonts w:ascii="Times New Roman" w:hAnsi="Times New Roman" w:cs="Times New Roman"/>
          </w:rPr>
          <w:t>http://rosatom.ru/vendors</w:t>
        </w:r>
      </w:hyperlink>
      <w:r w:rsidRPr="00990BF8">
        <w:rPr>
          <w:rFonts w:ascii="Times New Roman" w:hAnsi="Times New Roman" w:cs="Times New Roman"/>
        </w:rPr>
        <w:t>.</w:t>
      </w:r>
    </w:p>
    <w:p w14:paraId="007CA893"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Validity period of the security shall be:</w:t>
      </w:r>
    </w:p>
    <w:p w14:paraId="495BB1F2"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period of contractual obligations performance (excluding warranty obligations) plus 60 calendar days for advance payment bonds.</w:t>
      </w:r>
    </w:p>
    <w:p w14:paraId="5DC660A3"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period of contractual obligations performance (excluding warranty obligations) plus 60 calendar days for Contract performance bonds.</w:t>
      </w:r>
    </w:p>
    <w:p w14:paraId="1E763CB6"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period of warranty obligations performance plus 60 calendar days for securities of warranty obligations performance under the Contract.</w:t>
      </w:r>
    </w:p>
    <w:p w14:paraId="3903D062"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term of obligations performance plus 60 calendar days if the security is provided in the form of funds transfer, those funds shall be respectively returned to the Supplier.</w:t>
      </w:r>
    </w:p>
    <w:p w14:paraId="625E1744"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The amount of a security shall be:</w:t>
      </w:r>
    </w:p>
    <w:p w14:paraId="4EAF7979" w14:textId="77777777" w:rsidR="007A2118" w:rsidRPr="00990BF8" w:rsidRDefault="007A2118" w:rsidP="00115CF9">
      <w:pPr>
        <w:pStyle w:val="a5"/>
        <w:tabs>
          <w:tab w:val="left" w:pos="142"/>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equal</w:t>
      </w:r>
      <w:proofErr w:type="gramEnd"/>
      <w:r w:rsidRPr="00990BF8">
        <w:rPr>
          <w:rFonts w:ascii="Times New Roman" w:hAnsi="Times New Roman" w:cs="Times New Roman"/>
        </w:rPr>
        <w:t xml:space="preserve"> to the advance payment for advance payment bond;</w:t>
      </w:r>
    </w:p>
    <w:p w14:paraId="3CD3F4C5" w14:textId="77777777" w:rsidR="007A2118" w:rsidRPr="00990BF8" w:rsidRDefault="007A2118" w:rsidP="00115CF9">
      <w:pPr>
        <w:pStyle w:val="a5"/>
        <w:tabs>
          <w:tab w:val="left" w:pos="142"/>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equal</w:t>
      </w:r>
      <w:proofErr w:type="gramEnd"/>
      <w:r w:rsidRPr="00990BF8">
        <w:rPr>
          <w:rFonts w:ascii="Times New Roman" w:hAnsi="Times New Roman" w:cs="Times New Roman"/>
        </w:rPr>
        <w:t xml:space="preserve"> to 10</w:t>
      </w:r>
      <w:r w:rsidRPr="00990BF8">
        <w:rPr>
          <w:rFonts w:ascii="Times New Roman" w:hAnsi="Times New Roman" w:cs="Times New Roman"/>
          <w:vertAlign w:val="superscript"/>
        </w:rPr>
        <w:t> </w:t>
      </w:r>
      <w:r w:rsidRPr="00990BF8">
        <w:rPr>
          <w:rFonts w:ascii="Times New Roman" w:hAnsi="Times New Roman" w:cs="Times New Roman"/>
        </w:rPr>
        <w:t xml:space="preserve">% of the cost of the specification/Contract for Contract performance bond; </w:t>
      </w:r>
    </w:p>
    <w:p w14:paraId="2A61ECEE" w14:textId="77777777" w:rsidR="007A2118" w:rsidRPr="00990BF8" w:rsidRDefault="007A2118" w:rsidP="00115CF9">
      <w:pPr>
        <w:pStyle w:val="a5"/>
        <w:tabs>
          <w:tab w:val="left" w:pos="142"/>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equal</w:t>
      </w:r>
      <w:proofErr w:type="gramEnd"/>
      <w:r w:rsidRPr="00990BF8">
        <w:rPr>
          <w:rFonts w:ascii="Times New Roman" w:hAnsi="Times New Roman" w:cs="Times New Roman"/>
        </w:rPr>
        <w:t xml:space="preserve"> to 5</w:t>
      </w:r>
      <w:r w:rsidRPr="00990BF8">
        <w:rPr>
          <w:rFonts w:ascii="Times New Roman" w:hAnsi="Times New Roman" w:cs="Times New Roman"/>
          <w:vertAlign w:val="superscript"/>
        </w:rPr>
        <w:t> </w:t>
      </w:r>
      <w:r w:rsidRPr="00990BF8">
        <w:rPr>
          <w:rFonts w:ascii="Times New Roman" w:hAnsi="Times New Roman" w:cs="Times New Roman"/>
        </w:rPr>
        <w:t>% of the cost of the specification/Contract for securities of warranty obligations performance.</w:t>
      </w:r>
    </w:p>
    <w:p w14:paraId="09CB2541"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Securities may be provided in the form of the following:</w:t>
      </w:r>
    </w:p>
    <w:p w14:paraId="5160EA55" w14:textId="77777777"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0E0A8FCE" w14:textId="77777777"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Guarantee sent to the Buyer’s bank via SWIFT with an instruction to advise it to the Buyer. If the bank guarantee is provided in this manner, the powers of the person who signed this guarantee shall be deemed confirmed.</w:t>
      </w:r>
    </w:p>
    <w:p w14:paraId="463B8BE8" w14:textId="77777777"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Guarantee on a letterhead of the guarantor bank signed by the authorised person of the guarantor bank with a seal of the guarantor bank.</w:t>
      </w:r>
    </w:p>
    <w:p w14:paraId="7573145A" w14:textId="3CA1AC2E"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Suretyship contract with a signature of the authorised person of the Surety and a seal of the Surety (excluding bank guarantee).</w:t>
      </w:r>
    </w:p>
    <w:p w14:paraId="5AE0AF10"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If the security is provided in the form of a non-resident bank guarantee, this bank guarantee shall be granted in accordance with Clause 1) and/or 2) of this Appendix.</w:t>
      </w:r>
    </w:p>
    <w:p w14:paraId="78A8E814"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If the contract performance bond is submitted as per Clauses 3) and 4) hereof, the following documents certifying the authority of the person signing the security shall be attached obligatorily:</w:t>
      </w:r>
    </w:p>
    <w:p w14:paraId="02DC3D5B" w14:textId="77777777" w:rsidR="007A2118" w:rsidRPr="00990BF8" w:rsidRDefault="007A2118" w:rsidP="00115CF9">
      <w:pPr>
        <w:pStyle w:val="a5"/>
        <w:numPr>
          <w:ilvl w:val="1"/>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copies of currently applicable constituent documents of the Surety or the guarantor bank certified by the Surety’s or the guarantor bank’s authorised person or notarised;</w:t>
      </w:r>
    </w:p>
    <w:p w14:paraId="562A89B9" w14:textId="77777777" w:rsidR="007A2118" w:rsidRPr="00990BF8" w:rsidRDefault="007A2118" w:rsidP="00115CF9">
      <w:pPr>
        <w:pStyle w:val="a5"/>
        <w:numPr>
          <w:ilvl w:val="1"/>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38F26ADB" w14:textId="77777777" w:rsidR="007A2118" w:rsidRPr="00990BF8" w:rsidRDefault="007A2118" w:rsidP="00115CF9">
      <w:pPr>
        <w:pStyle w:val="a5"/>
        <w:numPr>
          <w:ilvl w:val="1"/>
          <w:numId w:val="2"/>
        </w:numPr>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original</w:t>
      </w:r>
      <w:proofErr w:type="gramEnd"/>
      <w:r w:rsidRPr="00990BF8">
        <w:rPr>
          <w:rFonts w:ascii="Times New Roman" w:hAnsi="Times New Roman" w:cs="Times New Roman"/>
        </w:rPr>
        <w:t xml:space="preserve">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w:t>
      </w:r>
      <w:r w:rsidRPr="00990BF8">
        <w:rPr>
          <w:rFonts w:ascii="Times New Roman" w:hAnsi="Times New Roman" w:cs="Times New Roman"/>
        </w:rPr>
        <w:lastRenderedPageBreak/>
        <w:t>to provide these documents, the letter from the authorised person on the fact that submission of this security is carried out in accordance with decisions listed in the Power of Attorney.</w:t>
      </w:r>
    </w:p>
    <w:p w14:paraId="46FA2C93" w14:textId="77777777" w:rsidR="007A2118" w:rsidRPr="00990BF8" w:rsidRDefault="007A2118" w:rsidP="00115CF9">
      <w:pPr>
        <w:ind w:firstLine="567"/>
        <w:jc w:val="both"/>
        <w:rPr>
          <w:sz w:val="22"/>
          <w:szCs w:val="22"/>
        </w:rPr>
      </w:pPr>
      <w:r w:rsidRPr="00990BF8">
        <w:rPr>
          <w:sz w:val="22"/>
          <w:szCs w:val="22"/>
        </w:rPr>
        <w:t>If case of absence of the documents specified in this Clause, the security shall not be accepted.</w:t>
      </w:r>
    </w:p>
    <w:p w14:paraId="068CD527" w14:textId="77777777" w:rsidR="007A2118" w:rsidRPr="00990BF8" w:rsidRDefault="007A2118" w:rsidP="00115CF9">
      <w:pPr>
        <w:pStyle w:val="1"/>
        <w:numPr>
          <w:ilvl w:val="0"/>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63D9F329"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3B525C5D"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sidRPr="00990BF8">
        <w:rPr>
          <w:rFonts w:ascii="Times New Roman" w:hAnsi="Times New Roman" w:cs="Times New Roman"/>
          <w:i/>
          <w:iCs/>
          <w:sz w:val="22"/>
          <w:szCs w:val="22"/>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sidRPr="00990BF8">
        <w:rPr>
          <w:rFonts w:ascii="Times New Roman" w:hAnsi="Times New Roman" w:cs="Times New Roman"/>
          <w:sz w:val="22"/>
          <w:szCs w:val="22"/>
        </w:rPr>
        <w:t>, based on the requirement provided in Article 2, Part 1, Clause 2 of the aforementioned Federal Law)).</w:t>
      </w:r>
    </w:p>
    <w:p w14:paraId="61AE27E9"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 xml:space="preserve">the amount of the bank’s equity capital as of the last reporting date for the published reports shall be more than or equal to 5 billion Russian roubles or their equivalent in foreign currency; and such reports shall be published at </w:t>
      </w:r>
      <w:hyperlink r:id="rId8" w:history="1">
        <w:r w:rsidRPr="00990BF8">
          <w:rPr>
            <w:rStyle w:val="a4"/>
            <w:rFonts w:ascii="Times New Roman" w:hAnsi="Times New Roman" w:cs="Times New Roman"/>
            <w:sz w:val="22"/>
            <w:szCs w:val="22"/>
          </w:rPr>
          <w:t>www.cbr.ru</w:t>
        </w:r>
      </w:hyperlink>
      <w:r w:rsidRPr="00990BF8">
        <w:rPr>
          <w:rFonts w:ascii="Times New Roman" w:hAnsi="Times New Roman" w:cs="Times New Roman"/>
          <w:sz w:val="22"/>
          <w:szCs w:val="22"/>
        </w:rPr>
        <w:t xml:space="preserve"> (form 123, for resident banks of the Russian Federation).</w:t>
      </w:r>
    </w:p>
    <w:p w14:paraId="713E0476" w14:textId="77777777" w:rsidR="007A2118" w:rsidRPr="00990BF8" w:rsidRDefault="007A2118" w:rsidP="00115CF9">
      <w:pPr>
        <w:ind w:firstLine="567"/>
        <w:jc w:val="both"/>
        <w:rPr>
          <w:noProof/>
          <w:sz w:val="22"/>
          <w:szCs w:val="22"/>
        </w:rPr>
      </w:pPr>
      <w:r w:rsidRPr="00990BF8">
        <w:rPr>
          <w:sz w:val="22"/>
          <w:szCs w:val="22"/>
        </w:rP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733E1581"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kern w:val="28"/>
        </w:rPr>
      </w:pPr>
      <w:r w:rsidRPr="00990BF8">
        <w:rPr>
          <w:rFonts w:ascii="Times New Roman" w:hAnsi="Times New Roman" w:cs="Times New Roman"/>
        </w:rPr>
        <w:t>Within the framework of obligations to the organisations of Rosatom State Corporation performed by counterparties which are non-residents of the Russian Federation, such obligations may be secured by resident banks of the country where the counterparty is located. In addition to the requirements listed in Clause 5, non-resident banks comply with the following requirements:</w:t>
      </w:r>
    </w:p>
    <w:p w14:paraId="2FCBF2C5" w14:textId="77777777" w:rsidR="007A2118" w:rsidRPr="00990BF8" w:rsidRDefault="007A2118" w:rsidP="00115CF9">
      <w:pPr>
        <w:tabs>
          <w:tab w:val="left" w:pos="1134"/>
        </w:tabs>
        <w:ind w:firstLine="567"/>
        <w:jc w:val="both"/>
        <w:rPr>
          <w:kern w:val="28"/>
          <w:sz w:val="22"/>
          <w:szCs w:val="22"/>
        </w:rPr>
      </w:pPr>
      <w:r w:rsidRPr="00990BF8">
        <w:rPr>
          <w:sz w:val="22"/>
          <w:szCs w:val="22"/>
        </w:rPr>
        <w:t>presence of an existing long-term credit rating in foreign currency assigned by one of the following international rating agencies: Standard&amp;Poor’s, Moody’s Investors Service, Fitch Ratings, at the level not lower than “B” on the scale of Standard &amp; Poor’s and Fitch Ratings, at least “B3” on the scale of Moody’s Investors Service. The said ratings shall be in effect and shall not have “revoked” or “suspended” status;</w:t>
      </w:r>
    </w:p>
    <w:p w14:paraId="3E2D419D" w14:textId="77777777" w:rsidR="007A2118" w:rsidRPr="00990BF8" w:rsidRDefault="007A2118" w:rsidP="00115CF9">
      <w:pPr>
        <w:ind w:firstLine="567"/>
        <w:jc w:val="both"/>
        <w:rPr>
          <w:sz w:val="22"/>
          <w:szCs w:val="22"/>
        </w:rPr>
      </w:pPr>
      <w:proofErr w:type="gramStart"/>
      <w:r w:rsidRPr="00990BF8">
        <w:rPr>
          <w:sz w:val="22"/>
          <w:szCs w:val="22"/>
        </w:rPr>
        <w:t>alternatively</w:t>
      </w:r>
      <w:proofErr w:type="gramEnd"/>
      <w:r w:rsidRPr="00990BF8">
        <w:rPr>
          <w:sz w:val="22"/>
          <w:szCs w:val="22"/>
        </w:rPr>
        <w:t>, the bank shall be in the top three of the banks of the country, the resident of which it is (with respect to the asset value).</w:t>
      </w:r>
    </w:p>
    <w:p w14:paraId="693AF9E7" w14:textId="77777777" w:rsidR="007A2118" w:rsidRPr="00990BF8" w:rsidRDefault="007A2118" w:rsidP="00115CF9">
      <w:pPr>
        <w:ind w:firstLine="567"/>
        <w:jc w:val="both"/>
        <w:rPr>
          <w:sz w:val="22"/>
          <w:szCs w:val="22"/>
        </w:rPr>
      </w:pPr>
      <w:r w:rsidRPr="00990BF8">
        <w:rPr>
          <w:sz w:val="22"/>
          <w:szCs w:val="22"/>
        </w:rP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9" w:history="1">
        <w:r w:rsidRPr="00990BF8">
          <w:rPr>
            <w:rStyle w:val="a4"/>
            <w:sz w:val="22"/>
            <w:szCs w:val="22"/>
          </w:rPr>
          <w:t>www.cbr.ru</w:t>
        </w:r>
      </w:hyperlink>
      <w:r w:rsidRPr="00990BF8">
        <w:rPr>
          <w:sz w:val="22"/>
          <w:szCs w:val="22"/>
        </w:rPr>
        <w:t xml:space="preserve"> website (for resident banks of the Russian Federation), shall not be accepted as security.</w:t>
      </w:r>
    </w:p>
    <w:p w14:paraId="1691F2E7" w14:textId="758D232A"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kern w:val="28"/>
        </w:rPr>
      </w:pPr>
      <w:r w:rsidRPr="00990BF8">
        <w:rPr>
          <w:rFonts w:ascii="Times New Roman" w:hAnsi="Times New Roman" w:cs="Times New Roman"/>
        </w:rPr>
        <w:t>Grounds for refusal to accept a bank guarantee that meets the criteria specified in Cl. 17.4 and 17.4.1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7820558A" w14:textId="77777777" w:rsidR="007A2118" w:rsidRPr="00990BF8" w:rsidRDefault="007A2118" w:rsidP="00115CF9">
      <w:pPr>
        <w:pStyle w:val="1"/>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If during the quarterly or any additional inspection it is found out that the bank does not any longer comply with the criteria, based on which it has been previously approved, the Buyer shall be entitled to request a change of guarantor bank.</w:t>
      </w:r>
    </w:p>
    <w:p w14:paraId="0B7E963B"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if a suretyship is issued for a Contract, the surety organisation shall meet the following requirements:</w:t>
      </w:r>
    </w:p>
    <w:p w14:paraId="12561C18" w14:textId="77777777" w:rsidR="007A2118" w:rsidRPr="00990BF8" w:rsidRDefault="007A2118" w:rsidP="00115CF9">
      <w:pPr>
        <w:pStyle w:val="a"/>
        <w:numPr>
          <w:ilvl w:val="0"/>
          <w:numId w:val="0"/>
        </w:numPr>
        <w:tabs>
          <w:tab w:val="clear" w:pos="709"/>
        </w:tabs>
        <w:ind w:firstLine="567"/>
        <w:rPr>
          <w:rFonts w:ascii="Times New Roman" w:hAnsi="Times New Roman" w:cs="Times New Roman"/>
          <w:sz w:val="22"/>
          <w:szCs w:val="22"/>
        </w:rPr>
      </w:pPr>
      <w:r w:rsidRPr="00990BF8">
        <w:rPr>
          <w:rFonts w:ascii="Times New Roman" w:hAnsi="Times New Roman" w:cs="Times New Roman"/>
          <w:sz w:val="22"/>
          <w:szCs w:val="22"/>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10" w:history="1">
        <w:r w:rsidRPr="00990BF8">
          <w:rPr>
            <w:rStyle w:val="a4"/>
            <w:rFonts w:ascii="Times New Roman" w:hAnsi="Times New Roman" w:cs="Times New Roman"/>
            <w:sz w:val="22"/>
            <w:szCs w:val="22"/>
          </w:rPr>
          <w:t>www.standardandpoors.com</w:t>
        </w:r>
      </w:hyperlink>
      <w:r w:rsidRPr="00990BF8">
        <w:rPr>
          <w:rFonts w:ascii="Times New Roman" w:hAnsi="Times New Roman" w:cs="Times New Roman"/>
          <w:sz w:val="22"/>
          <w:szCs w:val="22"/>
        </w:rPr>
        <w:t>), Moody’s Investors Service (</w:t>
      </w:r>
      <w:hyperlink r:id="rId11" w:history="1">
        <w:r w:rsidRPr="00990BF8">
          <w:rPr>
            <w:rStyle w:val="a4"/>
            <w:rFonts w:ascii="Times New Roman" w:hAnsi="Times New Roman" w:cs="Times New Roman"/>
            <w:sz w:val="22"/>
            <w:szCs w:val="22"/>
          </w:rPr>
          <w:t>www.moodys.com</w:t>
        </w:r>
      </w:hyperlink>
      <w:r w:rsidRPr="00990BF8">
        <w:rPr>
          <w:rFonts w:ascii="Times New Roman" w:hAnsi="Times New Roman" w:cs="Times New Roman"/>
          <w:sz w:val="22"/>
          <w:szCs w:val="22"/>
        </w:rPr>
        <w:t>) or Fitch Ratings (</w:t>
      </w:r>
      <w:hyperlink r:id="rId12" w:history="1">
        <w:r w:rsidRPr="00990BF8">
          <w:rPr>
            <w:rStyle w:val="a4"/>
            <w:rFonts w:ascii="Times New Roman" w:hAnsi="Times New Roman" w:cs="Times New Roman"/>
            <w:sz w:val="22"/>
            <w:szCs w:val="22"/>
          </w:rPr>
          <w:t>www.fitchratings.com</w:t>
        </w:r>
      </w:hyperlink>
      <w:r w:rsidRPr="00990BF8">
        <w:rPr>
          <w:rFonts w:ascii="Times New Roman" w:hAnsi="Times New Roman" w:cs="Times New Roman"/>
          <w:sz w:val="22"/>
          <w:szCs w:val="22"/>
        </w:rPr>
        <w:t xml:space="preserve">) at the level of sovereign credit rating of the Russian Federation assigned </w:t>
      </w:r>
      <w:r w:rsidRPr="00990BF8">
        <w:rPr>
          <w:rFonts w:ascii="Times New Roman" w:hAnsi="Times New Roman" w:cs="Times New Roman"/>
          <w:sz w:val="22"/>
          <w:szCs w:val="22"/>
        </w:rPr>
        <w:lastRenderedPageBreak/>
        <w:t>according to the international scale of the corresponding agency (Standard &amp; Poor’s, Fitch Ratings, Moody’s Investors Service). The said ratings shall be in effect and shall not have “revoked” or “suspended” status.</w:t>
      </w:r>
    </w:p>
    <w:p w14:paraId="0C808336" w14:textId="77777777" w:rsidR="007A2118" w:rsidRPr="00990BF8" w:rsidRDefault="007A2118" w:rsidP="00115CF9">
      <w:pPr>
        <w:ind w:firstLine="567"/>
        <w:jc w:val="both"/>
        <w:rPr>
          <w:sz w:val="22"/>
          <w:szCs w:val="22"/>
        </w:rPr>
      </w:pPr>
      <w:r w:rsidRPr="00990BF8">
        <w:rPr>
          <w:sz w:val="22"/>
          <w:szCs w:val="22"/>
        </w:rPr>
        <w:t>If one surety has ratings from two or more rating agencies, the higher of the ratings assigned by the specified rating agency shall be accepted for calculation.</w:t>
      </w:r>
    </w:p>
    <w:p w14:paraId="393674D3" w14:textId="77777777" w:rsidR="007A2118" w:rsidRPr="00990BF8" w:rsidRDefault="007A2118" w:rsidP="00115CF9">
      <w:pPr>
        <w:ind w:firstLine="567"/>
        <w:jc w:val="both"/>
        <w:rPr>
          <w:sz w:val="22"/>
          <w:szCs w:val="22"/>
        </w:rPr>
      </w:pPr>
      <w:r w:rsidRPr="00990BF8">
        <w:rPr>
          <w:sz w:val="22"/>
          <w:szCs w:val="22"/>
        </w:rPr>
        <w:t xml:space="preserve">If one surety has different level of credit rating in national or foreign currency the higher of the ratings assigned by </w:t>
      </w:r>
      <w:proofErr w:type="gramStart"/>
      <w:r w:rsidRPr="00990BF8">
        <w:rPr>
          <w:sz w:val="22"/>
          <w:szCs w:val="22"/>
        </w:rPr>
        <w:t>the this</w:t>
      </w:r>
      <w:proofErr w:type="gramEnd"/>
      <w:r w:rsidRPr="00990BF8">
        <w:rPr>
          <w:sz w:val="22"/>
          <w:szCs w:val="22"/>
        </w:rPr>
        <w:t xml:space="preserve"> rating agency shall be accepted for calculation.</w:t>
      </w:r>
    </w:p>
    <w:p w14:paraId="792CA40E" w14:textId="50CFF284" w:rsidR="007A2118" w:rsidRPr="00990BF8" w:rsidRDefault="007A2118" w:rsidP="00115CF9">
      <w:pPr>
        <w:pStyle w:val="1"/>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If during the quarterly or any additional inspection it is found out that the surety does not any longer comply with the criteria, based on which it has been previously approved, the Buyer shall be entitled to request a change of surety.</w:t>
      </w:r>
    </w:p>
    <w:p w14:paraId="409EB262"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noProof/>
        </w:rPr>
      </w:pPr>
      <w:r w:rsidRPr="00990BF8">
        <w:rPr>
          <w:rFonts w:ascii="Times New Roman" w:hAnsi="Times New Roman" w:cs="Times New Roman"/>
        </w:rPr>
        <w:t>If an independent guarantee is issued for a Contract, the surety organisation shall meet the following requirements:</w:t>
      </w:r>
    </w:p>
    <w:p w14:paraId="232E38D6"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the independent guarantee shall be issued by the person meeting the requirements established for the guarantor as per this Contract;</w:t>
      </w:r>
    </w:p>
    <w:p w14:paraId="3F473E69"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conditions related with using SWIFT system provided by the Contract, shall not apply to independent guarantees;</w:t>
      </w:r>
    </w:p>
    <w:p w14:paraId="2B3225BA"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The condition pointing that the guarantor shall be a bank or a credit institution and must provide a copy of a license issued by the Central Bank of Russian Federation shall not apply to independent guarantees;</w:t>
      </w:r>
    </w:p>
    <w:p w14:paraId="3DDE1368"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Contract terms regulating provision of bank guarantees shall be followed in all the matters related with independent guarantees.</w:t>
      </w:r>
    </w:p>
    <w:p w14:paraId="0B9B5786"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noProof/>
        </w:rPr>
      </w:pPr>
      <w:r w:rsidRPr="00990BF8">
        <w:rPr>
          <w:rFonts w:ascii="Times New Roman" w:hAnsi="Times New Roman" w:cs="Times New Roman"/>
        </w:rPr>
        <w:t>The types of security (the type of security which the Supplier is obliged to provide shall be established in the Contract): contract performance security, advance payment security, warranty obligations performance security.</w:t>
      </w:r>
    </w:p>
    <w:p w14:paraId="617961E1" w14:textId="54978366" w:rsidR="007A2118" w:rsidRPr="00990BF8" w:rsidRDefault="007A2118" w:rsidP="00115CF9">
      <w:pPr>
        <w:ind w:firstLine="567"/>
        <w:jc w:val="both"/>
        <w:rPr>
          <w:noProof/>
          <w:sz w:val="22"/>
          <w:szCs w:val="22"/>
        </w:rPr>
      </w:pPr>
      <w:r w:rsidRPr="00990BF8">
        <w:rPr>
          <w:sz w:val="22"/>
          <w:szCs w:val="22"/>
        </w:rPr>
        <w:t xml:space="preserve">Contract performance security shall ensure performance of main obligations under a Contract (supply of goods, performance of works, </w:t>
      </w:r>
      <w:proofErr w:type="gramStart"/>
      <w:r w:rsidRPr="00990BF8">
        <w:rPr>
          <w:sz w:val="22"/>
          <w:szCs w:val="22"/>
        </w:rPr>
        <w:t>provision</w:t>
      </w:r>
      <w:proofErr w:type="gramEnd"/>
      <w:r w:rsidRPr="00990BF8">
        <w:rPr>
          <w:sz w:val="22"/>
          <w:szCs w:val="22"/>
        </w:rPr>
        <w:t xml:space="preserve"> of services).</w:t>
      </w:r>
    </w:p>
    <w:p w14:paraId="08ACE968" w14:textId="5398CAE7" w:rsidR="007A2118" w:rsidRPr="00990BF8" w:rsidRDefault="007A2118" w:rsidP="00115CF9">
      <w:pPr>
        <w:ind w:firstLine="567"/>
        <w:jc w:val="both"/>
        <w:rPr>
          <w:noProof/>
          <w:sz w:val="22"/>
          <w:szCs w:val="22"/>
        </w:rPr>
      </w:pPr>
      <w:r w:rsidRPr="00990BF8">
        <w:rPr>
          <w:sz w:val="22"/>
          <w:szCs w:val="22"/>
        </w:rPr>
        <w:t>Advance payment security ensures refund of the advance payment transferred by the Buyer to the Supplier in case of the Supplier’s failure to perform the obligation for advance payment refund as per the Contract.</w:t>
      </w:r>
    </w:p>
    <w:p w14:paraId="6C82E723" w14:textId="77777777" w:rsidR="007A2118" w:rsidRPr="00990BF8" w:rsidRDefault="007A2118" w:rsidP="00115CF9">
      <w:pPr>
        <w:ind w:firstLine="567"/>
        <w:jc w:val="both"/>
        <w:rPr>
          <w:noProof/>
          <w:sz w:val="22"/>
          <w:szCs w:val="22"/>
        </w:rPr>
      </w:pPr>
      <w:r w:rsidRPr="00990BF8">
        <w:rPr>
          <w:sz w:val="22"/>
          <w:szCs w:val="22"/>
        </w:rPr>
        <w:t>Warranty obligations performance security shall ensure performance of the Supplier’s warranty obligations established in the Contract.</w:t>
      </w:r>
    </w:p>
    <w:p w14:paraId="74EA17EE"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bank guarantee/suretyship Contract shall contain a reference to the guarantor’s/Surety’s consent that any amendments and additions introduced into the contract shall not release it from its obligations under the bank guarantee/the given suretyship.</w:t>
      </w:r>
    </w:p>
    <w:p w14:paraId="53A50D28"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Requirements for the bank guarantees/suretyship Contracts provided:</w:t>
      </w:r>
    </w:p>
    <w:p w14:paraId="7DF68F92" w14:textId="27ACDA82"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guarantee/suretyship shall include obligations of penalties, forfeits, losses, obligations to return funds (including those invoked in case of termination of a Contract);</w:t>
      </w:r>
    </w:p>
    <w:p w14:paraId="76EEBE49" w14:textId="2D4777DB"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payment of money under a guarantee/suretyship contract upon the first written request of the Buyer;</w:t>
      </w:r>
    </w:p>
    <w:p w14:paraId="4006E63D"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63BB8567"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payment of the guarantee amount under bank guarantees/the amounts under suretyship contracts shall be made without need for provision of the Supplier’s acceptance of the Buyer’s claims (complaints); </w:t>
      </w:r>
    </w:p>
    <w:p w14:paraId="2BF9B90E"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63D127F"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right for demand belonging to the Beneficiary as per the bank guarantee, may be transferred to a third party without the Guarantor’s approval;</w:t>
      </w:r>
    </w:p>
    <w:p w14:paraId="0FFB65C3"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if</w:t>
      </w:r>
      <w:proofErr w:type="gramEnd"/>
      <w:r w:rsidRPr="00990BF8">
        <w:rPr>
          <w:rFonts w:ascii="Times New Roman" w:hAnsi="Times New Roman" w:cs="Times New Roman"/>
        </w:rPr>
        <w:t xml:space="preserve">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3A7B923A"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bank guarantee/suretyship contract shall contain a reference to the contract which is secured by this guarantee, including the parties, the contract subject and the contract price.</w:t>
      </w:r>
    </w:p>
    <w:p w14:paraId="31A5913D"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lastRenderedPageBreak/>
        <w:t>The amount of security provided for by the bank guarantee/suretyship contract may be claimed by the Customer, just as the amount of security received in the form of funds may be withheld by Buyer in case of violation of terms and conditions of the Contract made by the Supplier, including violation of period for performance of obligations (rendering services) stipulated by the Contract.</w:t>
      </w:r>
    </w:p>
    <w:p w14:paraId="37C1A6A7" w14:textId="77777777" w:rsidR="007A2118" w:rsidRPr="00990BF8" w:rsidRDefault="007A2118" w:rsidP="00115CF9">
      <w:pPr>
        <w:ind w:firstLine="567"/>
        <w:jc w:val="both"/>
        <w:rPr>
          <w:sz w:val="22"/>
          <w:szCs w:val="22"/>
        </w:rPr>
      </w:pPr>
      <w:r w:rsidRPr="00990BF8">
        <w:rPr>
          <w:sz w:val="22"/>
          <w:szCs w:val="22"/>
        </w:rP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1B23382D" w14:textId="77777777" w:rsidR="007A2118" w:rsidRPr="00990BF8" w:rsidRDefault="007A2118" w:rsidP="00115CF9">
      <w:pPr>
        <w:ind w:firstLine="567"/>
        <w:jc w:val="both"/>
        <w:rPr>
          <w:sz w:val="22"/>
          <w:szCs w:val="22"/>
        </w:rPr>
      </w:pPr>
      <w:r w:rsidRPr="00990BF8">
        <w:rPr>
          <w:sz w:val="22"/>
          <w:szCs w:val="22"/>
        </w:rPr>
        <w:t>The bank which has issued the bank guarantee/suretyship contract shall pay the security amount to the Buyer within 10 business days from the date of receiving the respective demand.</w:t>
      </w:r>
    </w:p>
    <w:p w14:paraId="312ED237" w14:textId="77777777" w:rsidR="007A2118" w:rsidRPr="00990BF8" w:rsidRDefault="007A2118" w:rsidP="00115CF9">
      <w:pPr>
        <w:pStyle w:val="a5"/>
        <w:spacing w:after="0" w:line="240" w:lineRule="auto"/>
        <w:ind w:left="0" w:firstLine="567"/>
        <w:jc w:val="both"/>
        <w:rPr>
          <w:rFonts w:ascii="Times New Roman" w:hAnsi="Times New Roman" w:cs="Times New Roman"/>
        </w:rPr>
      </w:pPr>
      <w:r w:rsidRPr="00990BF8">
        <w:rPr>
          <w:rFonts w:ascii="Times New Roman" w:hAnsi="Times New Roman" w:cs="Times New Roman"/>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C4366D6"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funds shall be returned to the Supplier in case of complete fulfilment of obligations under the contract under fulfilment of obligation of which they have been received and upon provision of documents provided by the contract.</w:t>
      </w:r>
    </w:p>
    <w:p w14:paraId="70CD1E4B" w14:textId="01D93CDF"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The </w:t>
      </w:r>
      <w:r w:rsidR="008F6D88" w:rsidRPr="00990BF8">
        <w:rPr>
          <w:rFonts w:ascii="Times New Roman" w:hAnsi="Times New Roman" w:cs="Times New Roman"/>
        </w:rPr>
        <w:t>t</w:t>
      </w:r>
      <w:r w:rsidRPr="00990BF8">
        <w:rPr>
          <w:rFonts w:ascii="Times New Roman" w:hAnsi="Times New Roman" w:cs="Times New Roman"/>
        </w:rPr>
        <w:t>ext of the bank guarantee and the guarantor bank/ or the text of the suretyship contract and the Surety shall be previously agreed with the Buyer.</w:t>
      </w:r>
    </w:p>
    <w:p w14:paraId="08101B82" w14:textId="77777777" w:rsidR="007A2118" w:rsidRPr="00990BF8" w:rsidRDefault="007A2118" w:rsidP="00115CF9">
      <w:pPr>
        <w:pStyle w:val="2"/>
        <w:widowControl w:val="0"/>
        <w:numPr>
          <w:ilvl w:val="0"/>
          <w:numId w:val="2"/>
        </w:numPr>
        <w:suppressAutoHyphens w:val="0"/>
        <w:spacing w:before="0" w:after="0"/>
        <w:ind w:left="0" w:firstLine="567"/>
        <w:jc w:val="both"/>
        <w:rPr>
          <w:rFonts w:ascii="Times New Roman" w:hAnsi="Times New Roman"/>
          <w:b w:val="0"/>
          <w:sz w:val="22"/>
          <w:szCs w:val="22"/>
        </w:rPr>
      </w:pPr>
      <w:r w:rsidRPr="00990BF8">
        <w:rPr>
          <w:rFonts w:ascii="Times New Roman" w:hAnsi="Times New Roman"/>
          <w:b w:val="0"/>
          <w:sz w:val="22"/>
          <w:szCs w:val="22"/>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77777777" w:rsidR="007A2118" w:rsidRPr="00990BF8" w:rsidRDefault="007A2118" w:rsidP="00115CF9">
      <w:pPr>
        <w:pStyle w:val="21"/>
        <w:numPr>
          <w:ilvl w:val="0"/>
          <w:numId w:val="2"/>
        </w:numPr>
        <w:tabs>
          <w:tab w:val="clear" w:pos="1559"/>
        </w:tabs>
        <w:spacing w:after="640" w:line="240" w:lineRule="auto"/>
        <w:ind w:left="0" w:firstLine="567"/>
        <w:jc w:val="both"/>
        <w:rPr>
          <w:rFonts w:ascii="Times New Roman" w:hAnsi="Times New Roman"/>
          <w:sz w:val="22"/>
          <w:szCs w:val="22"/>
        </w:rPr>
      </w:pPr>
      <w:r w:rsidRPr="00990BF8">
        <w:rPr>
          <w:rFonts w:ascii="Times New Roman" w:hAnsi="Times New Roman"/>
          <w:sz w:val="22"/>
          <w:szCs w:val="22"/>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tbl>
      <w:tblPr>
        <w:tblStyle w:val="aa"/>
        <w:tblW w:w="0" w:type="auto"/>
        <w:tblLook w:val="04A0" w:firstRow="1" w:lastRow="0" w:firstColumn="1" w:lastColumn="0" w:noHBand="0" w:noVBand="1"/>
      </w:tblPr>
      <w:tblGrid>
        <w:gridCol w:w="4672"/>
        <w:gridCol w:w="4673"/>
      </w:tblGrid>
      <w:tr w:rsidR="002C6C47" w:rsidRPr="00990BF8" w14:paraId="094AB926" w14:textId="77777777" w:rsidTr="00115CF9">
        <w:tc>
          <w:tcPr>
            <w:tcW w:w="4672" w:type="dxa"/>
          </w:tcPr>
          <w:p w14:paraId="05C85DC2" w14:textId="77777777" w:rsidR="002C6C47" w:rsidRPr="00990BF8" w:rsidRDefault="002C6C47" w:rsidP="00100E26">
            <w:pPr>
              <w:rPr>
                <w:b/>
                <w:sz w:val="22"/>
                <w:szCs w:val="22"/>
              </w:rPr>
            </w:pPr>
            <w:r w:rsidRPr="00990BF8">
              <w:rPr>
                <w:b/>
                <w:sz w:val="22"/>
                <w:szCs w:val="22"/>
              </w:rPr>
              <w:t>APPROVED</w:t>
            </w:r>
          </w:p>
        </w:tc>
        <w:tc>
          <w:tcPr>
            <w:tcW w:w="4673" w:type="dxa"/>
          </w:tcPr>
          <w:p w14:paraId="72C1A102" w14:textId="77777777" w:rsidR="002C6C47" w:rsidRPr="00990BF8" w:rsidRDefault="002C6C47" w:rsidP="00100E26">
            <w:pPr>
              <w:rPr>
                <w:b/>
                <w:sz w:val="22"/>
                <w:szCs w:val="22"/>
              </w:rPr>
            </w:pPr>
            <w:r w:rsidRPr="00990BF8">
              <w:rPr>
                <w:b/>
                <w:sz w:val="22"/>
                <w:szCs w:val="22"/>
              </w:rPr>
              <w:t>УТВЕРЖДЕНЫ</w:t>
            </w:r>
          </w:p>
        </w:tc>
      </w:tr>
      <w:tr w:rsidR="00115CF9" w:rsidRPr="00990BF8" w14:paraId="74AC28B4" w14:textId="77777777" w:rsidTr="00990BF8">
        <w:tc>
          <w:tcPr>
            <w:tcW w:w="4672" w:type="dxa"/>
          </w:tcPr>
          <w:p w14:paraId="67ADCC93" w14:textId="77777777" w:rsidR="00115CF9" w:rsidRPr="00990BF8" w:rsidRDefault="00115CF9" w:rsidP="001E41C7">
            <w:pPr>
              <w:rPr>
                <w:b/>
                <w:sz w:val="22"/>
                <w:szCs w:val="22"/>
                <w:lang w:val="en-US"/>
              </w:rPr>
            </w:pPr>
            <w:r w:rsidRPr="00990BF8">
              <w:rPr>
                <w:b/>
                <w:sz w:val="22"/>
                <w:szCs w:val="22"/>
                <w:lang w:val="en-US"/>
              </w:rPr>
              <w:t xml:space="preserve">BUYER / </w:t>
            </w:r>
            <w:r w:rsidRPr="00990BF8">
              <w:rPr>
                <w:b/>
                <w:sz w:val="22"/>
                <w:szCs w:val="22"/>
                <w:lang w:val="ru-RU"/>
              </w:rPr>
              <w:t>ПОКУПАТЕЛЬ</w:t>
            </w:r>
          </w:p>
          <w:p w14:paraId="118E191E" w14:textId="77777777" w:rsidR="00115CF9" w:rsidRPr="00990BF8" w:rsidRDefault="00115CF9" w:rsidP="001E41C7">
            <w:pPr>
              <w:rPr>
                <w:b/>
                <w:sz w:val="22"/>
                <w:szCs w:val="22"/>
                <w:lang w:val="en-US"/>
              </w:rPr>
            </w:pPr>
          </w:p>
          <w:p w14:paraId="13665517" w14:textId="77777777" w:rsidR="00115CF9" w:rsidRPr="00990BF8" w:rsidRDefault="00115CF9" w:rsidP="001E41C7">
            <w:pPr>
              <w:rPr>
                <w:b/>
                <w:sz w:val="22"/>
                <w:szCs w:val="22"/>
                <w:lang w:val="en-US"/>
              </w:rPr>
            </w:pPr>
          </w:p>
          <w:p w14:paraId="57DB07E1" w14:textId="77777777" w:rsidR="00115CF9" w:rsidRPr="00990BF8" w:rsidRDefault="00115CF9" w:rsidP="001E41C7">
            <w:pPr>
              <w:rPr>
                <w:b/>
                <w:sz w:val="22"/>
                <w:szCs w:val="22"/>
                <w:lang w:val="en-US"/>
              </w:rPr>
            </w:pPr>
            <w:r w:rsidRPr="00990BF8">
              <w:rPr>
                <w:b/>
                <w:sz w:val="22"/>
                <w:szCs w:val="22"/>
                <w:lang w:val="en-US"/>
              </w:rPr>
              <w:tab/>
            </w:r>
          </w:p>
          <w:p w14:paraId="08CA293E" w14:textId="77777777" w:rsidR="00115CF9" w:rsidRPr="00990BF8" w:rsidRDefault="00115CF9" w:rsidP="001E41C7">
            <w:pPr>
              <w:jc w:val="right"/>
              <w:rPr>
                <w:b/>
                <w:sz w:val="22"/>
                <w:szCs w:val="22"/>
                <w:lang w:val="en-US"/>
              </w:rPr>
            </w:pPr>
            <w:r w:rsidRPr="00990BF8">
              <w:rPr>
                <w:b/>
                <w:sz w:val="22"/>
                <w:szCs w:val="22"/>
                <w:lang w:val="en-US"/>
              </w:rPr>
              <w:t>________________ /</w:t>
            </w:r>
            <w:r w:rsidRPr="00990BF8">
              <w:rPr>
                <w:b/>
                <w:bCs/>
                <w:color w:val="000000"/>
                <w:sz w:val="22"/>
                <w:szCs w:val="22"/>
                <w:lang w:val="en-US" w:eastAsia="ru-RU"/>
              </w:rPr>
              <w:t xml:space="preserve"> </w:t>
            </w:r>
            <w:r w:rsidRPr="00990BF8">
              <w:rPr>
                <w:b/>
                <w:bCs/>
                <w:color w:val="000000"/>
                <w:sz w:val="22"/>
                <w:szCs w:val="22"/>
                <w:lang w:val="ru-RU" w:eastAsia="ru-RU"/>
              </w:rPr>
              <w:t>Бурнацева</w:t>
            </w:r>
            <w:r w:rsidRPr="00990BF8">
              <w:rPr>
                <w:b/>
                <w:bCs/>
                <w:color w:val="000000"/>
                <w:sz w:val="22"/>
                <w:szCs w:val="22"/>
                <w:lang w:val="en-US" w:eastAsia="ru-RU"/>
              </w:rPr>
              <w:t xml:space="preserve"> </w:t>
            </w:r>
            <w:r w:rsidRPr="00990BF8">
              <w:rPr>
                <w:b/>
                <w:bCs/>
                <w:color w:val="000000"/>
                <w:sz w:val="22"/>
                <w:szCs w:val="22"/>
                <w:lang w:val="ru-RU" w:eastAsia="ru-RU"/>
              </w:rPr>
              <w:t>А</w:t>
            </w:r>
            <w:r w:rsidRPr="00990BF8">
              <w:rPr>
                <w:b/>
                <w:bCs/>
                <w:color w:val="000000"/>
                <w:sz w:val="22"/>
                <w:szCs w:val="22"/>
                <w:lang w:val="en-US" w:eastAsia="ru-RU"/>
              </w:rPr>
              <w:t>.</w:t>
            </w:r>
            <w:r w:rsidRPr="00990BF8">
              <w:rPr>
                <w:b/>
                <w:bCs/>
                <w:color w:val="000000"/>
                <w:sz w:val="22"/>
                <w:szCs w:val="22"/>
                <w:lang w:val="ru-RU" w:eastAsia="ru-RU"/>
              </w:rPr>
              <w:t>Т</w:t>
            </w:r>
            <w:r w:rsidRPr="00990BF8">
              <w:rPr>
                <w:b/>
                <w:bCs/>
                <w:color w:val="000000"/>
                <w:sz w:val="22"/>
                <w:szCs w:val="22"/>
                <w:lang w:val="en-US" w:eastAsia="ru-RU"/>
              </w:rPr>
              <w:t xml:space="preserve">. / </w:t>
            </w:r>
            <w:proofErr w:type="spellStart"/>
            <w:r w:rsidRPr="00990BF8">
              <w:rPr>
                <w:b/>
                <w:bCs/>
                <w:color w:val="000000"/>
                <w:sz w:val="22"/>
                <w:szCs w:val="22"/>
                <w:lang w:val="en-US" w:eastAsia="ru-RU"/>
              </w:rPr>
              <w:t>Burnatseva</w:t>
            </w:r>
            <w:proofErr w:type="spellEnd"/>
            <w:r w:rsidRPr="00990BF8">
              <w:rPr>
                <w:b/>
                <w:bCs/>
                <w:color w:val="000000"/>
                <w:sz w:val="22"/>
                <w:szCs w:val="22"/>
                <w:lang w:val="en-US" w:eastAsia="ru-RU"/>
              </w:rPr>
              <w:t xml:space="preserve"> A.T. /</w:t>
            </w:r>
          </w:p>
          <w:p w14:paraId="4E9CF595" w14:textId="77777777" w:rsidR="00115CF9" w:rsidRPr="00990BF8" w:rsidRDefault="00115CF9" w:rsidP="001E41C7">
            <w:pPr>
              <w:pStyle w:val="ab"/>
              <w:rPr>
                <w:rFonts w:ascii="Times New Roman" w:hAnsi="Times New Roman" w:cs="Times New Roman"/>
                <w:b/>
                <w:lang w:val="en-US"/>
              </w:rPr>
            </w:pPr>
            <w:r w:rsidRPr="00990BF8">
              <w:rPr>
                <w:rFonts w:ascii="Times New Roman" w:hAnsi="Times New Roman" w:cs="Times New Roman"/>
                <w:b/>
                <w:lang w:val="en-US"/>
              </w:rPr>
              <w:t xml:space="preserve">L.S. / </w:t>
            </w:r>
            <w:r w:rsidRPr="00990BF8">
              <w:rPr>
                <w:rFonts w:ascii="Times New Roman" w:hAnsi="Times New Roman" w:cs="Times New Roman"/>
                <w:b/>
                <w:lang w:val="ru-RU"/>
              </w:rPr>
              <w:t>м</w:t>
            </w:r>
            <w:r w:rsidRPr="00990BF8">
              <w:rPr>
                <w:rFonts w:ascii="Times New Roman" w:hAnsi="Times New Roman" w:cs="Times New Roman"/>
                <w:b/>
                <w:lang w:val="en-US"/>
              </w:rPr>
              <w:t>.</w:t>
            </w:r>
            <w:r w:rsidRPr="00990BF8">
              <w:rPr>
                <w:rFonts w:ascii="Times New Roman" w:hAnsi="Times New Roman" w:cs="Times New Roman"/>
                <w:b/>
                <w:lang w:val="ru-RU"/>
              </w:rPr>
              <w:t>п</w:t>
            </w:r>
            <w:r w:rsidRPr="00990BF8">
              <w:rPr>
                <w:rFonts w:ascii="Times New Roman" w:hAnsi="Times New Roman" w:cs="Times New Roman"/>
                <w:b/>
                <w:lang w:val="en-US"/>
              </w:rPr>
              <w:t>.</w:t>
            </w:r>
          </w:p>
        </w:tc>
        <w:tc>
          <w:tcPr>
            <w:tcW w:w="4673" w:type="dxa"/>
          </w:tcPr>
          <w:p w14:paraId="76862899" w14:textId="77777777" w:rsidR="00115CF9" w:rsidRPr="00990BF8" w:rsidRDefault="00115CF9" w:rsidP="001E41C7">
            <w:pPr>
              <w:rPr>
                <w:b/>
                <w:sz w:val="22"/>
                <w:szCs w:val="22"/>
                <w:lang w:val="en-US"/>
              </w:rPr>
            </w:pPr>
            <w:r w:rsidRPr="00990BF8">
              <w:rPr>
                <w:b/>
                <w:sz w:val="22"/>
                <w:szCs w:val="22"/>
              </w:rPr>
              <w:t>SUPPLIER</w:t>
            </w:r>
            <w:r w:rsidRPr="00990BF8">
              <w:rPr>
                <w:b/>
                <w:sz w:val="22"/>
                <w:szCs w:val="22"/>
                <w:lang w:val="en-US"/>
              </w:rPr>
              <w:t xml:space="preserve"> / </w:t>
            </w:r>
            <w:r w:rsidRPr="00990BF8">
              <w:rPr>
                <w:b/>
                <w:sz w:val="22"/>
                <w:szCs w:val="22"/>
                <w:lang w:val="ru-RU"/>
              </w:rPr>
              <w:t>ПОСТАВЩИК</w:t>
            </w:r>
          </w:p>
          <w:p w14:paraId="13D05CC3" w14:textId="77777777" w:rsidR="00115CF9" w:rsidRPr="00990BF8" w:rsidRDefault="00115CF9" w:rsidP="001E41C7">
            <w:pPr>
              <w:rPr>
                <w:b/>
                <w:sz w:val="22"/>
                <w:szCs w:val="22"/>
                <w:lang w:val="en-US"/>
              </w:rPr>
            </w:pPr>
          </w:p>
          <w:p w14:paraId="3B835CF6" w14:textId="77777777" w:rsidR="00115CF9" w:rsidRPr="00990BF8" w:rsidRDefault="00115CF9" w:rsidP="001E41C7">
            <w:pPr>
              <w:rPr>
                <w:b/>
                <w:sz w:val="22"/>
                <w:szCs w:val="22"/>
                <w:lang w:val="en-US"/>
              </w:rPr>
            </w:pPr>
            <w:r w:rsidRPr="00990BF8">
              <w:rPr>
                <w:b/>
                <w:sz w:val="22"/>
                <w:szCs w:val="22"/>
                <w:lang w:val="en-US"/>
              </w:rPr>
              <w:tab/>
            </w:r>
          </w:p>
          <w:p w14:paraId="39922515" w14:textId="77777777" w:rsidR="00115CF9" w:rsidRPr="00990BF8" w:rsidRDefault="00115CF9" w:rsidP="001E41C7">
            <w:pPr>
              <w:rPr>
                <w:b/>
                <w:sz w:val="22"/>
                <w:szCs w:val="22"/>
                <w:lang w:val="en-US"/>
              </w:rPr>
            </w:pPr>
            <w:r w:rsidRPr="00990BF8">
              <w:rPr>
                <w:b/>
                <w:sz w:val="22"/>
                <w:szCs w:val="22"/>
                <w:lang w:val="en-US"/>
              </w:rPr>
              <w:tab/>
            </w:r>
          </w:p>
          <w:p w14:paraId="36A556B2" w14:textId="16DF38E1" w:rsidR="00115CF9" w:rsidRPr="00990BF8" w:rsidRDefault="00115CF9" w:rsidP="001E41C7">
            <w:pPr>
              <w:jc w:val="right"/>
              <w:rPr>
                <w:b/>
                <w:sz w:val="22"/>
                <w:szCs w:val="22"/>
                <w:lang w:val="en-US"/>
              </w:rPr>
            </w:pPr>
            <w:r w:rsidRPr="00990BF8">
              <w:rPr>
                <w:b/>
                <w:sz w:val="22"/>
                <w:szCs w:val="22"/>
                <w:lang w:val="en-US"/>
              </w:rPr>
              <w:t>_____________________ / /</w:t>
            </w:r>
            <w:bookmarkStart w:id="0" w:name="_GoBack"/>
            <w:bookmarkEnd w:id="0"/>
            <w:r w:rsidRPr="00990BF8">
              <w:rPr>
                <w:b/>
                <w:sz w:val="22"/>
                <w:szCs w:val="22"/>
                <w:lang w:val="en-US"/>
              </w:rPr>
              <w:t xml:space="preserve"> /</w:t>
            </w:r>
          </w:p>
          <w:p w14:paraId="7FFBA9C0" w14:textId="77777777" w:rsidR="00115CF9" w:rsidRPr="00990BF8" w:rsidRDefault="00115CF9" w:rsidP="001E41C7">
            <w:pPr>
              <w:rPr>
                <w:b/>
                <w:sz w:val="22"/>
                <w:szCs w:val="22"/>
                <w:lang w:val="en-US"/>
              </w:rPr>
            </w:pPr>
            <w:r w:rsidRPr="00990BF8">
              <w:rPr>
                <w:b/>
                <w:sz w:val="22"/>
                <w:szCs w:val="22"/>
                <w:lang w:val="en-US"/>
              </w:rPr>
              <w:t xml:space="preserve">L.S. / </w:t>
            </w:r>
            <w:r w:rsidRPr="00990BF8">
              <w:rPr>
                <w:b/>
                <w:sz w:val="22"/>
                <w:szCs w:val="22"/>
                <w:lang w:val="ru-RU"/>
              </w:rPr>
              <w:t>м</w:t>
            </w:r>
            <w:r w:rsidRPr="00990BF8">
              <w:rPr>
                <w:b/>
                <w:sz w:val="22"/>
                <w:szCs w:val="22"/>
                <w:lang w:val="en-US"/>
              </w:rPr>
              <w:t>.</w:t>
            </w:r>
            <w:r w:rsidRPr="00990BF8">
              <w:rPr>
                <w:b/>
                <w:sz w:val="22"/>
                <w:szCs w:val="22"/>
                <w:lang w:val="ru-RU"/>
              </w:rPr>
              <w:t>п</w:t>
            </w:r>
            <w:r w:rsidRPr="00990BF8">
              <w:rPr>
                <w:b/>
                <w:sz w:val="22"/>
                <w:szCs w:val="22"/>
                <w:lang w:val="en-US"/>
              </w:rPr>
              <w:t>.</w:t>
            </w:r>
          </w:p>
        </w:tc>
      </w:tr>
    </w:tbl>
    <w:p w14:paraId="317426E5" w14:textId="77777777" w:rsidR="002C6C47" w:rsidRPr="00990BF8" w:rsidRDefault="002C6C47" w:rsidP="00115CF9">
      <w:pPr>
        <w:rPr>
          <w:sz w:val="22"/>
          <w:szCs w:val="22"/>
          <w:lang w:val="en-US"/>
        </w:rPr>
      </w:pPr>
    </w:p>
    <w:sectPr w:rsidR="002C6C47" w:rsidRPr="00990BF8" w:rsidSect="00115CF9">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AF12" w14:textId="77777777" w:rsidR="003677CD" w:rsidRDefault="003677CD" w:rsidP="00115CF9">
      <w:r>
        <w:separator/>
      </w:r>
    </w:p>
  </w:endnote>
  <w:endnote w:type="continuationSeparator" w:id="0">
    <w:p w14:paraId="62015DD6" w14:textId="77777777" w:rsidR="003677CD" w:rsidRDefault="003677CD" w:rsidP="0011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460312"/>
      <w:docPartObj>
        <w:docPartGallery w:val="Page Numbers (Bottom of Page)"/>
        <w:docPartUnique/>
      </w:docPartObj>
    </w:sdtPr>
    <w:sdtEndPr/>
    <w:sdtContent>
      <w:p w14:paraId="3DF65B19" w14:textId="3A672CDC" w:rsidR="00115CF9" w:rsidRDefault="00115CF9">
        <w:pPr>
          <w:pStyle w:val="ab"/>
          <w:jc w:val="right"/>
        </w:pPr>
        <w:r>
          <w:fldChar w:fldCharType="begin"/>
        </w:r>
        <w:r>
          <w:instrText>PAGE   \* MERGEFORMAT</w:instrText>
        </w:r>
        <w:r>
          <w:fldChar w:fldCharType="separate"/>
        </w:r>
        <w:r w:rsidR="00BA71BE" w:rsidRPr="00BA71BE">
          <w:rPr>
            <w:noProof/>
            <w:lang w:val="ru-RU"/>
          </w:rPr>
          <w:t>4</w:t>
        </w:r>
        <w:r>
          <w:fldChar w:fldCharType="end"/>
        </w:r>
      </w:p>
    </w:sdtContent>
  </w:sdt>
  <w:p w14:paraId="418F03D9" w14:textId="77777777" w:rsidR="00115CF9" w:rsidRDefault="00115CF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C6AAD" w14:textId="77777777" w:rsidR="003677CD" w:rsidRDefault="003677CD" w:rsidP="00115CF9">
      <w:r>
        <w:separator/>
      </w:r>
    </w:p>
  </w:footnote>
  <w:footnote w:type="continuationSeparator" w:id="0">
    <w:p w14:paraId="67A8FD4D" w14:textId="77777777" w:rsidR="003677CD" w:rsidRDefault="003677CD" w:rsidP="00115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B6EFD"/>
    <w:rsid w:val="00100207"/>
    <w:rsid w:val="00115CF9"/>
    <w:rsid w:val="002C6C47"/>
    <w:rsid w:val="002F47CC"/>
    <w:rsid w:val="003677CD"/>
    <w:rsid w:val="005B3D86"/>
    <w:rsid w:val="006F2E95"/>
    <w:rsid w:val="007A2118"/>
    <w:rsid w:val="008F6D88"/>
    <w:rsid w:val="00990BF8"/>
    <w:rsid w:val="00B4200A"/>
    <w:rsid w:val="00B436E2"/>
    <w:rsid w:val="00BA71BE"/>
    <w:rsid w:val="00C86068"/>
    <w:rsid w:val="00CB2743"/>
    <w:rsid w:val="00CE2DD0"/>
    <w:rsid w:val="00F5497A"/>
    <w:rsid w:val="00F57573"/>
    <w:rsid w:val="00FE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 w:type="paragraph" w:styleId="ad">
    <w:name w:val="header"/>
    <w:basedOn w:val="a0"/>
    <w:link w:val="ae"/>
    <w:uiPriority w:val="99"/>
    <w:unhideWhenUsed/>
    <w:rsid w:val="00115CF9"/>
    <w:pPr>
      <w:tabs>
        <w:tab w:val="center" w:pos="4677"/>
        <w:tab w:val="right" w:pos="9355"/>
      </w:tabs>
    </w:pPr>
  </w:style>
  <w:style w:type="character" w:customStyle="1" w:styleId="ae">
    <w:name w:val="Верхний колонтитул Знак"/>
    <w:basedOn w:val="a1"/>
    <w:link w:val="ad"/>
    <w:uiPriority w:val="99"/>
    <w:rsid w:val="00115CF9"/>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osatom.ru/vendors" TargetMode="External"/><Relationship Id="rId12" Type="http://schemas.openxmlformats.org/officeDocument/2006/relationships/hyperlink" Target="http://www.fitchrating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ody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andartandpoors.com/" TargetMode="External"/><Relationship Id="rId4" Type="http://schemas.openxmlformats.org/officeDocument/2006/relationships/webSettings" Target="web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2440</Words>
  <Characters>13910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Анна Васильева</cp:lastModifiedBy>
  <cp:revision>15</cp:revision>
  <dcterms:created xsi:type="dcterms:W3CDTF">2022-05-31T09:19:00Z</dcterms:created>
  <dcterms:modified xsi:type="dcterms:W3CDTF">2023-10-18T12:32:00Z</dcterms:modified>
</cp:coreProperties>
</file>